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rPr>
          <w:sz w:val="36"/>
          <w:szCs w:val="36"/>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95250</wp:posOffset>
            </wp:positionH>
            <wp:positionV relativeFrom="paragraph">
              <wp:posOffset>19050</wp:posOffset>
            </wp:positionV>
            <wp:extent cx="1104900" cy="1171575"/>
            <wp:effectExtent b="0" l="0" r="0" t="0"/>
            <wp:wrapNone/>
            <wp:docPr id="1" name="image1.png"/>
            <a:graphic>
              <a:graphicData uri="http://schemas.openxmlformats.org/drawingml/2006/picture">
                <pic:pic>
                  <pic:nvPicPr>
                    <pic:cNvPr id="0" name="image1.png"/>
                    <pic:cNvPicPr preferRelativeResize="0"/>
                  </pic:nvPicPr>
                  <pic:blipFill>
                    <a:blip r:embed="rId6"/>
                    <a:srcRect b="0" l="0" r="74505" t="0"/>
                    <a:stretch>
                      <a:fillRect/>
                    </a:stretch>
                  </pic:blipFill>
                  <pic:spPr>
                    <a:xfrm>
                      <a:off x="0" y="0"/>
                      <a:ext cx="1104900" cy="1171575"/>
                    </a:xfrm>
                    <a:prstGeom prst="rect"/>
                    <a:ln/>
                  </pic:spPr>
                </pic:pic>
              </a:graphicData>
            </a:graphic>
          </wp:anchor>
        </w:drawing>
      </w:r>
    </w:p>
    <w:p w:rsidR="00000000" w:rsidDel="00000000" w:rsidP="00000000" w:rsidRDefault="00000000" w:rsidRPr="00000000" w14:paraId="00000002">
      <w:pPr>
        <w:ind w:left="1440" w:firstLine="720"/>
        <w:jc w:val="center"/>
        <w:rPr>
          <w:b w:val="1"/>
          <w:bCs w:val="1"/>
          <w:sz w:val="36"/>
          <w:szCs w:val="36"/>
        </w:rPr>
      </w:pPr>
      <w:r w:rsidDel="00000000" w:rsidR="00000000" w:rsidRPr="00000000">
        <w:rPr>
          <w:b w:val="1"/>
          <w:bCs w:val="1"/>
          <w:sz w:val="36"/>
          <w:szCs w:val="36"/>
          <w:rtl w:val="0"/>
        </w:rPr>
        <w:t xml:space="preserve">Redemptorist St. Gerard Catholic School                                           </w:t>
      </w:r>
    </w:p>
    <w:p w:rsidR="00000000" w:rsidDel="00000000" w:rsidP="00000000" w:rsidRDefault="00000000" w:rsidRPr="00000000" w14:paraId="00000003">
      <w:pPr>
        <w:ind w:left="1440" w:firstLine="720"/>
        <w:jc w:val="center"/>
        <w:rPr>
          <w:b w:val="1"/>
          <w:bCs w:val="1"/>
          <w:sz w:val="36"/>
          <w:szCs w:val="36"/>
        </w:rPr>
      </w:pPr>
      <w:r w:rsidDel="00000000" w:rsidR="00000000" w:rsidRPr="00000000">
        <w:rPr>
          <w:b w:val="1"/>
          <w:bCs w:val="1"/>
          <w:sz w:val="36"/>
          <w:szCs w:val="36"/>
          <w:rtl w:val="0"/>
        </w:rPr>
        <w:t xml:space="preserve">2026-2027 Student Supply List</w:t>
      </w:r>
    </w:p>
    <w:p w:rsidR="00000000" w:rsidDel="00000000" w:rsidP="00000000" w:rsidRDefault="00000000" w:rsidRPr="00000000" w14:paraId="00000004">
      <w:pPr>
        <w:ind w:left="1440" w:firstLine="0"/>
        <w:jc w:val="center"/>
        <w:rPr>
          <w:b w:val="1"/>
          <w:bCs w:val="1"/>
          <w:sz w:val="36"/>
          <w:szCs w:val="36"/>
        </w:rPr>
      </w:pPr>
      <w:r w:rsidDel="00000000" w:rsidR="00000000" w:rsidRPr="00000000">
        <w:rPr>
          <w:b w:val="1"/>
          <w:bCs w:val="1"/>
          <w:sz w:val="36"/>
          <w:szCs w:val="36"/>
          <w:rtl w:val="0"/>
        </w:rPr>
        <w:t xml:space="preserve">       3rd Grade</w:t>
        <w:tab/>
      </w:r>
    </w:p>
    <w:p w:rsidR="00000000" w:rsidDel="00000000" w:rsidP="00000000" w:rsidRDefault="00000000" w:rsidRPr="00000000" w14:paraId="00000005">
      <w:pPr>
        <w:ind w:left="1440" w:firstLine="720"/>
        <w:rPr>
          <w:b w:val="1"/>
          <w:bCs w:val="1"/>
        </w:rPr>
      </w:pPr>
      <w:r w:rsidDel="00000000" w:rsidR="00000000" w:rsidRPr="00000000">
        <w:rPr>
          <w:rtl w:val="0"/>
        </w:rPr>
      </w:r>
    </w:p>
    <w:tbl>
      <w:tblPr>
        <w:tblStyle w:val="Table1"/>
        <w:tblpPr w:leftFromText="180" w:rightFromText="180" w:topFromText="180" w:bottomFromText="180" w:vertAnchor="text" w:horzAnchor="text" w:tblpX="15" w:tblpY="0"/>
        <w:tblW w:w="96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8205"/>
        <w:tblGridChange w:id="0">
          <w:tblGrid>
            <w:gridCol w:w="1395"/>
            <w:gridCol w:w="8205"/>
          </w:tblGrid>
        </w:tblGridChange>
      </w:tblGrid>
      <w:tr>
        <w:trPr>
          <w:cantSplit w:val="0"/>
          <w:tblHeader w:val="0"/>
        </w:trPr>
        <w:tc>
          <w:tcPr>
            <w:shd w:fill="b6d7a8" w:val="clear"/>
          </w:tcPr>
          <w:p w:rsidR="00000000" w:rsidDel="00000000" w:rsidP="00000000" w:rsidRDefault="00000000" w:rsidRPr="00000000" w14:paraId="00000006">
            <w:pPr>
              <w:widowControl w:val="0"/>
              <w:spacing w:line="240" w:lineRule="auto"/>
              <w:jc w:val="center"/>
              <w:rPr>
                <w:b w:val="1"/>
                <w:bCs w:val="1"/>
              </w:rPr>
            </w:pPr>
            <w:r w:rsidDel="00000000" w:rsidR="00000000" w:rsidRPr="00000000">
              <w:rPr>
                <w:b w:val="1"/>
                <w:bCs w:val="1"/>
                <w:rtl w:val="0"/>
              </w:rPr>
              <w:t xml:space="preserve">Quantity</w:t>
            </w:r>
          </w:p>
        </w:tc>
        <w:tc>
          <w:tcPr>
            <w:shd w:fill="b6d7a8" w:val="clear"/>
          </w:tcPr>
          <w:p w:rsidR="00000000" w:rsidDel="00000000" w:rsidP="00000000" w:rsidRDefault="00000000" w:rsidRPr="00000000" w14:paraId="00000007">
            <w:pPr>
              <w:widowControl w:val="0"/>
              <w:spacing w:line="240" w:lineRule="auto"/>
              <w:jc w:val="center"/>
              <w:rPr>
                <w:b w:val="1"/>
                <w:bCs w:val="1"/>
              </w:rPr>
            </w:pPr>
            <w:r w:rsidDel="00000000" w:rsidR="00000000" w:rsidRPr="00000000">
              <w:rPr>
                <w:b w:val="1"/>
                <w:bCs w:val="1"/>
                <w:rtl w:val="0"/>
              </w:rPr>
              <w:t xml:space="preserve">Item</w:t>
            </w:r>
          </w:p>
        </w:tc>
      </w:tr>
      <w:tr>
        <w:trPr>
          <w:cantSplit w:val="0"/>
          <w:tblHeader w:val="0"/>
        </w:trPr>
        <w:tc>
          <w:tcPr/>
          <w:p w:rsidR="00000000" w:rsidDel="00000000" w:rsidP="00000000" w:rsidRDefault="00000000" w:rsidRPr="00000000" w14:paraId="00000008">
            <w:pPr>
              <w:widowControl w:val="0"/>
              <w:spacing w:line="240" w:lineRule="auto"/>
              <w:rPr>
                <w:b w:val="1"/>
                <w:bCs w:val="1"/>
              </w:rPr>
            </w:pPr>
            <w:r w:rsidDel="00000000" w:rsidR="00000000" w:rsidRPr="00000000">
              <w:rPr>
                <w:b w:val="1"/>
                <w:bCs w:val="1"/>
                <w:rtl w:val="0"/>
              </w:rPr>
              <w:t xml:space="preserve">6</w:t>
            </w:r>
          </w:p>
        </w:tc>
        <w:tc>
          <w:tcPr/>
          <w:p w:rsidR="00000000" w:rsidDel="00000000" w:rsidP="00000000" w:rsidRDefault="00000000" w:rsidRPr="00000000" w14:paraId="00000009">
            <w:pPr>
              <w:widowControl w:val="0"/>
              <w:spacing w:line="240" w:lineRule="auto"/>
              <w:rPr>
                <w:b w:val="1"/>
                <w:bCs w:val="1"/>
              </w:rPr>
            </w:pPr>
            <w:r w:rsidDel="00000000" w:rsidR="00000000" w:rsidRPr="00000000">
              <w:rPr>
                <w:b w:val="1"/>
                <w:bCs w:val="1"/>
                <w:rtl w:val="0"/>
              </w:rPr>
              <w:t xml:space="preserve">Composition Notebooks</w:t>
            </w:r>
          </w:p>
        </w:tc>
      </w:tr>
      <w:tr>
        <w:trPr>
          <w:cantSplit w:val="0"/>
          <w:trHeight w:val="477.978515625" w:hRule="atLeast"/>
          <w:tblHeader w:val="0"/>
        </w:trPr>
        <w:tc>
          <w:tcPr/>
          <w:p w:rsidR="00000000" w:rsidDel="00000000" w:rsidP="00000000" w:rsidRDefault="00000000" w:rsidRPr="00000000" w14:paraId="0000000A">
            <w:pPr>
              <w:widowControl w:val="0"/>
              <w:spacing w:line="240" w:lineRule="auto"/>
              <w:rPr>
                <w:b w:val="1"/>
                <w:bCs w:val="1"/>
              </w:rPr>
            </w:pPr>
            <w:r w:rsidDel="00000000" w:rsidR="00000000" w:rsidRPr="00000000">
              <w:rPr>
                <w:b w:val="1"/>
                <w:bCs w:val="1"/>
                <w:rtl w:val="0"/>
              </w:rPr>
              <w:t xml:space="preserve">3 </w:t>
            </w:r>
          </w:p>
        </w:tc>
        <w:tc>
          <w:tcPr/>
          <w:p w:rsidR="00000000" w:rsidDel="00000000" w:rsidP="00000000" w:rsidRDefault="00000000" w:rsidRPr="00000000" w14:paraId="0000000B">
            <w:pPr>
              <w:widowControl w:val="0"/>
              <w:spacing w:line="240" w:lineRule="auto"/>
              <w:rPr>
                <w:b w:val="1"/>
                <w:bCs w:val="1"/>
              </w:rPr>
            </w:pPr>
            <w:r w:rsidDel="00000000" w:rsidR="00000000" w:rsidRPr="00000000">
              <w:rPr>
                <w:b w:val="1"/>
                <w:bCs w:val="1"/>
                <w:rtl w:val="0"/>
              </w:rPr>
              <w:t xml:space="preserve">Plastic pocket folders</w:t>
            </w:r>
          </w:p>
        </w:tc>
      </w:tr>
      <w:tr>
        <w:trPr>
          <w:cantSplit w:val="0"/>
          <w:tblHeader w:val="0"/>
        </w:trPr>
        <w:tc>
          <w:tcPr/>
          <w:p w:rsidR="00000000" w:rsidDel="00000000" w:rsidP="00000000" w:rsidRDefault="00000000" w:rsidRPr="00000000" w14:paraId="0000000C">
            <w:pPr>
              <w:widowControl w:val="0"/>
              <w:spacing w:line="240" w:lineRule="auto"/>
              <w:rPr>
                <w:b w:val="1"/>
                <w:bCs w:val="1"/>
              </w:rPr>
            </w:pPr>
            <w:r w:rsidDel="00000000" w:rsidR="00000000" w:rsidRPr="00000000">
              <w:rPr>
                <w:b w:val="1"/>
                <w:bCs w:val="1"/>
                <w:rtl w:val="0"/>
              </w:rPr>
              <w:t xml:space="preserve">1</w:t>
            </w:r>
          </w:p>
        </w:tc>
        <w:tc>
          <w:tcPr/>
          <w:p w:rsidR="00000000" w:rsidDel="00000000" w:rsidP="00000000" w:rsidRDefault="00000000" w:rsidRPr="00000000" w14:paraId="0000000D">
            <w:pPr>
              <w:widowControl w:val="0"/>
              <w:spacing w:line="240" w:lineRule="auto"/>
              <w:rPr>
                <w:b w:val="1"/>
                <w:bCs w:val="1"/>
              </w:rPr>
            </w:pPr>
            <w:r w:rsidDel="00000000" w:rsidR="00000000" w:rsidRPr="00000000">
              <w:rPr>
                <w:b w:val="1"/>
                <w:bCs w:val="1"/>
                <w:rtl w:val="0"/>
              </w:rPr>
              <w:t xml:space="preserve">Pack of Loose Leaf Paper</w:t>
            </w:r>
          </w:p>
        </w:tc>
      </w:tr>
      <w:tr>
        <w:trPr>
          <w:cantSplit w:val="0"/>
          <w:tblHeader w:val="0"/>
        </w:trPr>
        <w:tc>
          <w:tcPr/>
          <w:p w:rsidR="00000000" w:rsidDel="00000000" w:rsidP="00000000" w:rsidRDefault="00000000" w:rsidRPr="00000000" w14:paraId="0000000E">
            <w:pPr>
              <w:widowControl w:val="0"/>
              <w:spacing w:line="240" w:lineRule="auto"/>
              <w:rPr>
                <w:b w:val="1"/>
                <w:bCs w:val="1"/>
              </w:rPr>
            </w:pPr>
            <w:r w:rsidDel="00000000" w:rsidR="00000000" w:rsidRPr="00000000">
              <w:rPr>
                <w:b w:val="1"/>
                <w:bCs w:val="1"/>
                <w:rtl w:val="0"/>
              </w:rPr>
              <w:t xml:space="preserve">4 </w:t>
            </w:r>
          </w:p>
        </w:tc>
        <w:tc>
          <w:tcPr/>
          <w:p w:rsidR="00000000" w:rsidDel="00000000" w:rsidP="00000000" w:rsidRDefault="00000000" w:rsidRPr="00000000" w14:paraId="0000000F">
            <w:pPr>
              <w:widowControl w:val="0"/>
              <w:spacing w:line="240" w:lineRule="auto"/>
              <w:rPr>
                <w:b w:val="1"/>
                <w:bCs w:val="1"/>
              </w:rPr>
            </w:pPr>
            <w:r w:rsidDel="00000000" w:rsidR="00000000" w:rsidRPr="00000000">
              <w:rPr>
                <w:b w:val="1"/>
                <w:bCs w:val="1"/>
                <w:rtl w:val="0"/>
              </w:rPr>
              <w:t xml:space="preserve">16 pk. of crayons</w:t>
            </w:r>
          </w:p>
        </w:tc>
      </w:tr>
      <w:tr>
        <w:trPr>
          <w:cantSplit w:val="0"/>
          <w:trHeight w:val="447.978515625" w:hRule="atLeast"/>
          <w:tblHeader w:val="0"/>
        </w:trPr>
        <w:tc>
          <w:tcPr/>
          <w:p w:rsidR="00000000" w:rsidDel="00000000" w:rsidP="00000000" w:rsidRDefault="00000000" w:rsidRPr="00000000" w14:paraId="00000010">
            <w:pPr>
              <w:widowControl w:val="0"/>
              <w:spacing w:line="240" w:lineRule="auto"/>
              <w:rPr>
                <w:b w:val="1"/>
                <w:bCs w:val="1"/>
              </w:rPr>
            </w:pPr>
            <w:r w:rsidDel="00000000" w:rsidR="00000000" w:rsidRPr="00000000">
              <w:rPr>
                <w:b w:val="1"/>
                <w:bCs w:val="1"/>
                <w:rtl w:val="0"/>
              </w:rPr>
              <w:t xml:space="preserve">2</w:t>
            </w:r>
          </w:p>
        </w:tc>
        <w:tc>
          <w:tcPr/>
          <w:p w:rsidR="00000000" w:rsidDel="00000000" w:rsidP="00000000" w:rsidRDefault="00000000" w:rsidRPr="00000000" w14:paraId="00000011">
            <w:pPr>
              <w:widowControl w:val="0"/>
              <w:spacing w:line="240" w:lineRule="auto"/>
              <w:rPr>
                <w:b w:val="1"/>
                <w:bCs w:val="1"/>
              </w:rPr>
            </w:pPr>
            <w:r w:rsidDel="00000000" w:rsidR="00000000" w:rsidRPr="00000000">
              <w:rPr>
                <w:b w:val="1"/>
                <w:bCs w:val="1"/>
                <w:rtl w:val="0"/>
              </w:rPr>
              <w:t xml:space="preserve">Pair of scissors</w:t>
            </w:r>
          </w:p>
        </w:tc>
      </w:tr>
      <w:tr>
        <w:trPr>
          <w:cantSplit w:val="0"/>
          <w:tblHeader w:val="0"/>
        </w:trPr>
        <w:tc>
          <w:tcPr/>
          <w:p w:rsidR="00000000" w:rsidDel="00000000" w:rsidP="00000000" w:rsidRDefault="00000000" w:rsidRPr="00000000" w14:paraId="00000012">
            <w:pPr>
              <w:widowControl w:val="0"/>
              <w:spacing w:line="240" w:lineRule="auto"/>
              <w:rPr>
                <w:b w:val="1"/>
                <w:bCs w:val="1"/>
              </w:rPr>
            </w:pPr>
            <w:r w:rsidDel="00000000" w:rsidR="00000000" w:rsidRPr="00000000">
              <w:rPr>
                <w:b w:val="1"/>
                <w:bCs w:val="1"/>
                <w:rtl w:val="0"/>
              </w:rPr>
              <w:t xml:space="preserve">1 </w:t>
            </w:r>
          </w:p>
        </w:tc>
        <w:tc>
          <w:tcPr/>
          <w:p w:rsidR="00000000" w:rsidDel="00000000" w:rsidP="00000000" w:rsidRDefault="00000000" w:rsidRPr="00000000" w14:paraId="00000013">
            <w:pPr>
              <w:widowControl w:val="0"/>
              <w:spacing w:line="240" w:lineRule="auto"/>
              <w:rPr>
                <w:b w:val="1"/>
                <w:bCs w:val="1"/>
              </w:rPr>
            </w:pPr>
            <w:r w:rsidDel="00000000" w:rsidR="00000000" w:rsidRPr="00000000">
              <w:rPr>
                <w:b w:val="1"/>
                <w:bCs w:val="1"/>
                <w:rtl w:val="0"/>
              </w:rPr>
              <w:t xml:space="preserve">Pack of construction paper</w:t>
            </w:r>
          </w:p>
        </w:tc>
      </w:tr>
      <w:tr>
        <w:trPr>
          <w:cantSplit w:val="0"/>
          <w:trHeight w:val="447.978515625" w:hRule="atLeast"/>
          <w:tblHeader w:val="0"/>
        </w:trPr>
        <w:tc>
          <w:tcPr/>
          <w:p w:rsidR="00000000" w:rsidDel="00000000" w:rsidP="00000000" w:rsidRDefault="00000000" w:rsidRPr="00000000" w14:paraId="00000014">
            <w:pPr>
              <w:widowControl w:val="0"/>
              <w:spacing w:line="240" w:lineRule="auto"/>
              <w:rPr>
                <w:b w:val="1"/>
                <w:bCs w:val="1"/>
              </w:rPr>
            </w:pPr>
            <w:r w:rsidDel="00000000" w:rsidR="00000000" w:rsidRPr="00000000">
              <w:rPr>
                <w:b w:val="1"/>
                <w:bCs w:val="1"/>
                <w:rtl w:val="0"/>
              </w:rPr>
              <w:t xml:space="preserve">5</w:t>
            </w:r>
          </w:p>
        </w:tc>
        <w:tc>
          <w:tcPr/>
          <w:p w:rsidR="00000000" w:rsidDel="00000000" w:rsidP="00000000" w:rsidRDefault="00000000" w:rsidRPr="00000000" w14:paraId="00000015">
            <w:pPr>
              <w:widowControl w:val="0"/>
              <w:spacing w:line="240" w:lineRule="auto"/>
              <w:rPr>
                <w:b w:val="1"/>
                <w:bCs w:val="1"/>
              </w:rPr>
            </w:pPr>
            <w:r w:rsidDel="00000000" w:rsidR="00000000" w:rsidRPr="00000000">
              <w:rPr>
                <w:b w:val="1"/>
                <w:bCs w:val="1"/>
                <w:rtl w:val="0"/>
              </w:rPr>
              <w:t xml:space="preserve">Glue sticks</w:t>
            </w:r>
          </w:p>
        </w:tc>
      </w:tr>
      <w:tr>
        <w:trPr>
          <w:cantSplit w:val="0"/>
          <w:tblHeader w:val="0"/>
        </w:trPr>
        <w:tc>
          <w:tcPr/>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1</w:t>
            </w:r>
          </w:p>
        </w:tc>
        <w:tc>
          <w:tcPr/>
          <w:p w:rsidR="00000000" w:rsidDel="00000000" w:rsidP="00000000" w:rsidRDefault="00000000" w:rsidRPr="00000000" w14:paraId="00000017">
            <w:pPr>
              <w:widowControl w:val="0"/>
              <w:spacing w:line="240" w:lineRule="auto"/>
              <w:rPr>
                <w:b w:val="1"/>
                <w:bCs w:val="1"/>
              </w:rPr>
            </w:pPr>
            <w:r w:rsidDel="00000000" w:rsidR="00000000" w:rsidRPr="00000000">
              <w:rPr>
                <w:b w:val="1"/>
                <w:bCs w:val="1"/>
                <w:rtl w:val="0"/>
              </w:rPr>
              <w:t xml:space="preserve">Pack of Dry Erase Markers</w:t>
            </w:r>
          </w:p>
        </w:tc>
      </w:tr>
      <w:tr>
        <w:trPr>
          <w:cantSplit w:val="0"/>
          <w:tblHeader w:val="0"/>
        </w:trPr>
        <w:tc>
          <w:tcPr/>
          <w:p w:rsidR="00000000" w:rsidDel="00000000" w:rsidP="00000000" w:rsidRDefault="00000000" w:rsidRPr="00000000" w14:paraId="00000018">
            <w:pPr>
              <w:widowControl w:val="0"/>
              <w:spacing w:line="240" w:lineRule="auto"/>
              <w:rPr>
                <w:b w:val="1"/>
                <w:bCs w:val="1"/>
              </w:rPr>
            </w:pPr>
            <w:r w:rsidDel="00000000" w:rsidR="00000000" w:rsidRPr="00000000">
              <w:rPr>
                <w:b w:val="1"/>
                <w:bCs w:val="1"/>
                <w:rtl w:val="0"/>
              </w:rPr>
              <w:t xml:space="preserve">5</w:t>
            </w:r>
          </w:p>
        </w:tc>
        <w:tc>
          <w:tcPr/>
          <w:p w:rsidR="00000000" w:rsidDel="00000000" w:rsidP="00000000" w:rsidRDefault="00000000" w:rsidRPr="00000000" w14:paraId="00000019">
            <w:pPr>
              <w:widowControl w:val="0"/>
              <w:spacing w:line="240" w:lineRule="auto"/>
              <w:rPr>
                <w:b w:val="1"/>
                <w:bCs w:val="1"/>
              </w:rPr>
            </w:pPr>
            <w:r w:rsidDel="00000000" w:rsidR="00000000" w:rsidRPr="00000000">
              <w:rPr>
                <w:b w:val="1"/>
                <w:bCs w:val="1"/>
                <w:rtl w:val="0"/>
              </w:rPr>
              <w:t xml:space="preserve">Packs of pencils</w:t>
            </w:r>
          </w:p>
        </w:tc>
      </w:tr>
      <w:tr>
        <w:trPr>
          <w:cantSplit w:val="0"/>
          <w:tblHeader w:val="0"/>
        </w:trPr>
        <w:tc>
          <w:tcPr/>
          <w:p w:rsidR="00000000" w:rsidDel="00000000" w:rsidP="00000000" w:rsidRDefault="00000000" w:rsidRPr="00000000" w14:paraId="0000001A">
            <w:pPr>
              <w:widowControl w:val="0"/>
              <w:spacing w:line="240" w:lineRule="auto"/>
              <w:rPr>
                <w:b w:val="1"/>
                <w:bCs w:val="1"/>
              </w:rPr>
            </w:pPr>
            <w:r w:rsidDel="00000000" w:rsidR="00000000" w:rsidRPr="00000000">
              <w:rPr>
                <w:b w:val="1"/>
                <w:bCs w:val="1"/>
                <w:rtl w:val="0"/>
              </w:rPr>
              <w:t xml:space="preserve">2 </w:t>
            </w:r>
          </w:p>
        </w:tc>
        <w:tc>
          <w:tcPr/>
          <w:p w:rsidR="00000000" w:rsidDel="00000000" w:rsidP="00000000" w:rsidRDefault="00000000" w:rsidRPr="00000000" w14:paraId="0000001B">
            <w:pPr>
              <w:widowControl w:val="0"/>
              <w:spacing w:line="240" w:lineRule="auto"/>
              <w:rPr>
                <w:b w:val="1"/>
                <w:bCs w:val="1"/>
              </w:rPr>
            </w:pPr>
            <w:r w:rsidDel="00000000" w:rsidR="00000000" w:rsidRPr="00000000">
              <w:rPr>
                <w:b w:val="1"/>
                <w:bCs w:val="1"/>
                <w:rtl w:val="0"/>
              </w:rPr>
              <w:t xml:space="preserve">Rolls of paper towels</w:t>
            </w:r>
          </w:p>
        </w:tc>
      </w:tr>
      <w:tr>
        <w:trPr>
          <w:cantSplit w:val="0"/>
          <w:tblHeader w:val="0"/>
        </w:trPr>
        <w:tc>
          <w:tcPr/>
          <w:p w:rsidR="00000000" w:rsidDel="00000000" w:rsidP="00000000" w:rsidRDefault="00000000" w:rsidRPr="00000000" w14:paraId="0000001C">
            <w:pPr>
              <w:widowControl w:val="0"/>
              <w:spacing w:line="240" w:lineRule="auto"/>
              <w:rPr>
                <w:b w:val="1"/>
                <w:bCs w:val="1"/>
              </w:rPr>
            </w:pPr>
            <w:r w:rsidDel="00000000" w:rsidR="00000000" w:rsidRPr="00000000">
              <w:rPr>
                <w:b w:val="1"/>
                <w:bCs w:val="1"/>
                <w:rtl w:val="0"/>
              </w:rPr>
              <w:t xml:space="preserve">2 </w:t>
            </w:r>
          </w:p>
        </w:tc>
        <w:tc>
          <w:tcPr/>
          <w:p w:rsidR="00000000" w:rsidDel="00000000" w:rsidP="00000000" w:rsidRDefault="00000000" w:rsidRPr="00000000" w14:paraId="0000001D">
            <w:pPr>
              <w:widowControl w:val="0"/>
              <w:spacing w:line="240" w:lineRule="auto"/>
              <w:rPr>
                <w:b w:val="1"/>
                <w:bCs w:val="1"/>
              </w:rPr>
            </w:pPr>
            <w:r w:rsidDel="00000000" w:rsidR="00000000" w:rsidRPr="00000000">
              <w:rPr>
                <w:b w:val="1"/>
                <w:bCs w:val="1"/>
                <w:rtl w:val="0"/>
              </w:rPr>
              <w:t xml:space="preserve">Boxes of Kleenex</w:t>
            </w:r>
          </w:p>
        </w:tc>
      </w:tr>
      <w:tr>
        <w:trPr>
          <w:cantSplit w:val="0"/>
          <w:tblHeader w:val="0"/>
        </w:trPr>
        <w:tc>
          <w:tcPr/>
          <w:p w:rsidR="00000000" w:rsidDel="00000000" w:rsidP="00000000" w:rsidRDefault="00000000" w:rsidRPr="00000000" w14:paraId="0000001E">
            <w:pPr>
              <w:widowControl w:val="0"/>
              <w:spacing w:line="240" w:lineRule="auto"/>
              <w:rPr>
                <w:b w:val="1"/>
                <w:bCs w:val="1"/>
              </w:rPr>
            </w:pPr>
            <w:r w:rsidDel="00000000" w:rsidR="00000000" w:rsidRPr="00000000">
              <w:rPr>
                <w:b w:val="1"/>
                <w:bCs w:val="1"/>
                <w:rtl w:val="0"/>
              </w:rPr>
              <w:t xml:space="preserve">1 </w:t>
            </w:r>
          </w:p>
        </w:tc>
        <w:tc>
          <w:tcPr/>
          <w:p w:rsidR="00000000" w:rsidDel="00000000" w:rsidP="00000000" w:rsidRDefault="00000000" w:rsidRPr="00000000" w14:paraId="0000001F">
            <w:pPr>
              <w:widowControl w:val="0"/>
              <w:spacing w:line="240" w:lineRule="auto"/>
              <w:rPr>
                <w:b w:val="1"/>
                <w:bCs w:val="1"/>
              </w:rPr>
            </w:pPr>
            <w:r w:rsidDel="00000000" w:rsidR="00000000" w:rsidRPr="00000000">
              <w:rPr>
                <w:b w:val="1"/>
                <w:bCs w:val="1"/>
                <w:rtl w:val="0"/>
              </w:rPr>
              <w:t xml:space="preserve">Box of Quart size ziploc bags</w:t>
            </w:r>
          </w:p>
        </w:tc>
      </w:tr>
      <w:tr>
        <w:trPr>
          <w:cantSplit w:val="0"/>
          <w:tblHeader w:val="0"/>
        </w:trPr>
        <w:tc>
          <w:tcPr/>
          <w:p w:rsidR="00000000" w:rsidDel="00000000" w:rsidP="00000000" w:rsidRDefault="00000000" w:rsidRPr="00000000" w14:paraId="00000020">
            <w:pPr>
              <w:widowControl w:val="0"/>
              <w:spacing w:line="240" w:lineRule="auto"/>
              <w:rPr>
                <w:b w:val="1"/>
                <w:bCs w:val="1"/>
              </w:rPr>
            </w:pPr>
            <w:r w:rsidDel="00000000" w:rsidR="00000000" w:rsidRPr="00000000">
              <w:rPr>
                <w:b w:val="1"/>
                <w:bCs w:val="1"/>
                <w:rtl w:val="0"/>
              </w:rPr>
              <w:t xml:space="preserve">1 </w:t>
            </w:r>
          </w:p>
        </w:tc>
        <w:tc>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rtl w:val="0"/>
              </w:rPr>
              <w:t xml:space="preserve">Box of Gallon size ziploc bags  </w:t>
            </w:r>
          </w:p>
        </w:tc>
      </w:tr>
      <w:tr>
        <w:trPr>
          <w:cantSplit w:val="0"/>
          <w:trHeight w:val="492.978515625" w:hRule="atLeast"/>
          <w:tblHeader w:val="0"/>
        </w:trPr>
        <w:tc>
          <w:tcPr/>
          <w:p w:rsidR="00000000" w:rsidDel="00000000" w:rsidP="00000000" w:rsidRDefault="00000000" w:rsidRPr="00000000" w14:paraId="00000022">
            <w:pPr>
              <w:widowControl w:val="0"/>
              <w:spacing w:line="240" w:lineRule="auto"/>
              <w:rPr>
                <w:b w:val="1"/>
                <w:bCs w:val="1"/>
              </w:rPr>
            </w:pPr>
            <w:r w:rsidDel="00000000" w:rsidR="00000000" w:rsidRPr="00000000">
              <w:rPr>
                <w:b w:val="1"/>
                <w:bCs w:val="1"/>
                <w:rtl w:val="0"/>
              </w:rPr>
              <w:t xml:space="preserve">1</w:t>
            </w:r>
          </w:p>
        </w:tc>
        <w:tc>
          <w:tcPr/>
          <w:p w:rsidR="00000000" w:rsidDel="00000000" w:rsidP="00000000" w:rsidRDefault="00000000" w:rsidRPr="00000000" w14:paraId="00000023">
            <w:pPr>
              <w:widowControl w:val="0"/>
              <w:spacing w:line="240" w:lineRule="auto"/>
              <w:rPr>
                <w:b w:val="1"/>
                <w:bCs w:val="1"/>
              </w:rPr>
            </w:pPr>
            <w:r w:rsidDel="00000000" w:rsidR="00000000" w:rsidRPr="00000000">
              <w:rPr>
                <w:b w:val="1"/>
                <w:bCs w:val="1"/>
                <w:rtl w:val="0"/>
              </w:rPr>
              <w:t xml:space="preserve">Pint of hand sanitizer </w:t>
            </w:r>
          </w:p>
        </w:tc>
      </w:tr>
      <w:tr>
        <w:trPr>
          <w:cantSplit w:val="0"/>
          <w:tblHeader w:val="0"/>
        </w:trPr>
        <w:tc>
          <w:tcPr/>
          <w:p w:rsidR="00000000" w:rsidDel="00000000" w:rsidP="00000000" w:rsidRDefault="00000000" w:rsidRPr="00000000" w14:paraId="00000024">
            <w:pPr>
              <w:widowControl w:val="0"/>
              <w:spacing w:line="240" w:lineRule="auto"/>
              <w:rPr>
                <w:b w:val="1"/>
                <w:bCs w:val="1"/>
              </w:rPr>
            </w:pPr>
            <w:r w:rsidDel="00000000" w:rsidR="00000000" w:rsidRPr="00000000">
              <w:rPr>
                <w:b w:val="1"/>
                <w:bCs w:val="1"/>
                <w:rtl w:val="0"/>
              </w:rPr>
              <w:t xml:space="preserve">2</w:t>
            </w:r>
          </w:p>
        </w:tc>
        <w:tc>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Packs of Copier paper</w:t>
            </w:r>
          </w:p>
        </w:tc>
      </w:tr>
      <w:tr>
        <w:trPr>
          <w:cantSplit w:val="0"/>
          <w:tblHeader w:val="0"/>
        </w:trPr>
        <w:tc>
          <w:tcPr/>
          <w:p w:rsidR="00000000" w:rsidDel="00000000" w:rsidP="00000000" w:rsidRDefault="00000000" w:rsidRPr="00000000" w14:paraId="00000026">
            <w:pPr>
              <w:widowControl w:val="0"/>
              <w:spacing w:line="240" w:lineRule="auto"/>
              <w:rPr>
                <w:b w:val="1"/>
                <w:bCs w:val="1"/>
              </w:rPr>
            </w:pPr>
            <w:r w:rsidDel="00000000" w:rsidR="00000000" w:rsidRPr="00000000">
              <w:rPr>
                <w:rtl w:val="0"/>
              </w:rPr>
            </w:r>
          </w:p>
        </w:tc>
        <w:tc>
          <w:tcPr/>
          <w:p w:rsidR="00000000" w:rsidDel="00000000" w:rsidP="00000000" w:rsidRDefault="00000000" w:rsidRPr="00000000" w14:paraId="00000027">
            <w:pPr>
              <w:widowControl w:val="0"/>
              <w:spacing w:line="24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8">
            <w:pPr>
              <w:widowControl w:val="0"/>
              <w:spacing w:line="240" w:lineRule="auto"/>
              <w:rPr>
                <w:b w:val="1"/>
                <w:bCs w:val="1"/>
              </w:rPr>
            </w:pPr>
            <w:r w:rsidDel="00000000" w:rsidR="00000000" w:rsidRPr="00000000">
              <w:rPr>
                <w:rtl w:val="0"/>
              </w:rPr>
            </w:r>
          </w:p>
        </w:tc>
        <w:tc>
          <w:tcPr/>
          <w:p w:rsidR="00000000" w:rsidDel="00000000" w:rsidP="00000000" w:rsidRDefault="00000000" w:rsidRPr="00000000" w14:paraId="00000029">
            <w:pPr>
              <w:widowControl w:val="0"/>
              <w:spacing w:line="240" w:lineRule="auto"/>
              <w:rPr>
                <w:b w:val="1"/>
                <w:bCs w:val="1"/>
              </w:rPr>
            </w:pPr>
            <w:r w:rsidDel="00000000" w:rsidR="00000000" w:rsidRPr="00000000">
              <w:rPr>
                <w:b w:val="1"/>
                <w:bCs w:val="1"/>
                <w:rtl w:val="0"/>
              </w:rPr>
              <w:t xml:space="preserve">Label ALL School Supplies</w:t>
            </w:r>
          </w:p>
        </w:tc>
      </w:tr>
    </w:tbl>
    <w:p w:rsidR="00000000" w:rsidDel="00000000" w:rsidP="00000000" w:rsidRDefault="00000000" w:rsidRPr="00000000" w14:paraId="0000002A">
      <w:pPr>
        <w:rPr/>
      </w:pPr>
      <w:r w:rsidDel="00000000" w:rsidR="00000000" w:rsidRPr="00000000">
        <w:rPr>
          <w:rtl w:val="0"/>
        </w:rPr>
        <w:t xml:space="preserve">Notes:</w:t>
      </w:r>
    </w:p>
    <w:p w:rsidR="00000000" w:rsidDel="00000000" w:rsidP="00000000" w:rsidRDefault="00000000" w:rsidRPr="00000000" w14:paraId="0000002B">
      <w:pPr>
        <w:rPr>
          <w:b w:val="1"/>
          <w:bCs w:val="1"/>
        </w:rPr>
      </w:pPr>
      <w:r w:rsidDel="00000000" w:rsidR="00000000" w:rsidRPr="00000000">
        <w:rPr>
          <w:b w:val="1"/>
          <w:bCs w:val="1"/>
          <w:rtl w:val="0"/>
        </w:rPr>
        <w:t xml:space="preserve">It is suggested that you buy an extra supply of these products (while they are on sale) because we may need to replenish them throughout the year. Due to the limited storage area, please keep all extra supplies at home.</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Note: $50.00 Fee to cover consumable workbook/materials - Due: </w:t>
      </w:r>
      <w:r w:rsidDel="00000000" w:rsidR="00000000" w:rsidRPr="00000000">
        <w:rPr>
          <w:b w:val="1"/>
          <w:bCs w:val="1"/>
          <w:rtl w:val="0"/>
        </w:rPr>
        <w:t xml:space="preserve">Aug 20,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